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tabs>
          <w:tab w:val="left" w:pos="0"/>
        </w:tabs>
        <w:autoSpaceDE w:val="0"/>
        <w:autoSpaceDN w:val="0"/>
        <w:adjustRightInd w:val="0"/>
        <w:spacing w:line="480" w:lineRule="exact"/>
        <w:jc w:val="center"/>
        <w:outlineLvl w:val="0"/>
        <w:rPr>
          <w:rFonts w:hint="eastAsia" w:cs="Times New Roman" w:asciiTheme="minorEastAsia" w:hAnsiTheme="minorEastAsia" w:eastAsiaTheme="minorEastAsia"/>
          <w:b/>
          <w:bCs/>
          <w:color w:val="auto"/>
          <w:kern w:val="44"/>
          <w:sz w:val="32"/>
          <w:szCs w:val="32"/>
          <w:lang w:eastAsia="zh-CN"/>
        </w:rPr>
      </w:pPr>
      <w:bookmarkStart w:id="0" w:name="_Toc35393813"/>
      <w:r>
        <w:rPr>
          <w:rFonts w:hint="eastAsia" w:cs="Times New Roman" w:asciiTheme="minorEastAsia" w:hAnsiTheme="minorEastAsia"/>
          <w:b/>
          <w:bCs/>
          <w:color w:val="auto"/>
          <w:kern w:val="44"/>
          <w:sz w:val="32"/>
          <w:szCs w:val="32"/>
          <w:lang w:eastAsia="zh-CN"/>
        </w:rPr>
        <w:t>广西兴桂源招标有限公司关于广西水资源监测能力建设工程</w:t>
      </w:r>
      <w:r>
        <w:rPr>
          <w:rFonts w:hint="eastAsia" w:cs="Times New Roman" w:asciiTheme="minorEastAsia" w:hAnsiTheme="minorEastAsia"/>
          <w:b/>
          <w:bCs/>
          <w:color w:val="auto"/>
          <w:kern w:val="44"/>
          <w:sz w:val="32"/>
          <w:szCs w:val="32"/>
        </w:rPr>
        <w:t>（</w:t>
      </w:r>
      <w:r>
        <w:rPr>
          <w:rFonts w:hint="eastAsia" w:cs="Times New Roman" w:asciiTheme="minorEastAsia" w:hAnsiTheme="minorEastAsia"/>
          <w:b/>
          <w:bCs/>
          <w:color w:val="auto"/>
          <w:kern w:val="44"/>
          <w:sz w:val="32"/>
          <w:szCs w:val="32"/>
          <w:lang w:eastAsia="zh-CN"/>
        </w:rPr>
        <w:t xml:space="preserve">GXZC2022-G1-003167-GXXG </w:t>
      </w:r>
      <w:r>
        <w:rPr>
          <w:rFonts w:hint="eastAsia" w:cs="Times New Roman" w:asciiTheme="minorEastAsia" w:hAnsiTheme="minorEastAsia"/>
          <w:b/>
          <w:bCs/>
          <w:color w:val="auto"/>
          <w:kern w:val="44"/>
          <w:sz w:val="32"/>
          <w:szCs w:val="32"/>
        </w:rPr>
        <w:t>）更正</w:t>
      </w:r>
      <w:bookmarkEnd w:id="0"/>
      <w:r>
        <w:rPr>
          <w:rFonts w:hint="eastAsia" w:cs="Times New Roman" w:asciiTheme="minorEastAsia" w:hAnsiTheme="minorEastAsia"/>
          <w:b/>
          <w:bCs/>
          <w:color w:val="auto"/>
          <w:kern w:val="44"/>
          <w:sz w:val="32"/>
          <w:szCs w:val="32"/>
          <w:lang w:eastAsia="zh-CN"/>
        </w:rPr>
        <w:t>公告（一）</w:t>
      </w:r>
    </w:p>
    <w:p>
      <w:pPr>
        <w:keepNext/>
        <w:keepLines/>
        <w:spacing w:line="440" w:lineRule="exact"/>
        <w:outlineLvl w:val="1"/>
        <w:rPr>
          <w:rFonts w:cs="宋体" w:asciiTheme="minorEastAsia" w:hAnsiTheme="minorEastAsia"/>
          <w:bCs/>
          <w:color w:val="auto"/>
          <w:sz w:val="24"/>
          <w:szCs w:val="24"/>
        </w:rPr>
      </w:pPr>
      <w:bookmarkStart w:id="1" w:name="_Toc35393645"/>
      <w:bookmarkStart w:id="2" w:name="_Toc28359027"/>
      <w:bookmarkStart w:id="3" w:name="_Toc28359104"/>
      <w:bookmarkStart w:id="4" w:name="_Toc35393814"/>
      <w:r>
        <w:rPr>
          <w:rFonts w:hint="eastAsia" w:cs="宋体" w:asciiTheme="minorEastAsia" w:hAnsiTheme="minorEastAsia"/>
          <w:bCs/>
          <w:color w:val="auto"/>
          <w:sz w:val="24"/>
          <w:szCs w:val="24"/>
        </w:rPr>
        <w:t>一、项目基本情况</w:t>
      </w:r>
      <w:bookmarkEnd w:id="1"/>
      <w:bookmarkEnd w:id="2"/>
      <w:bookmarkEnd w:id="3"/>
      <w:bookmarkEnd w:id="4"/>
    </w:p>
    <w:p>
      <w:p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color w:val="auto"/>
          <w:sz w:val="24"/>
          <w:szCs w:val="24"/>
          <w:lang w:eastAsia="zh-CN"/>
        </w:rPr>
      </w:pPr>
      <w:r>
        <w:rPr>
          <w:rFonts w:hint="eastAsia" w:cs="Times New Roman" w:asciiTheme="minorEastAsia" w:hAnsiTheme="minorEastAsia"/>
          <w:color w:val="auto"/>
          <w:sz w:val="24"/>
          <w:szCs w:val="24"/>
        </w:rPr>
        <w:t>原公告的采购项目编号：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 xml:space="preserve">GXZC2022-G1-003167-GXXG </w:t>
      </w:r>
    </w:p>
    <w:p>
      <w:pPr>
        <w:spacing w:line="440" w:lineRule="exact"/>
        <w:ind w:firstLine="480" w:firstLineChars="200"/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</w:pPr>
      <w:r>
        <w:rPr>
          <w:rFonts w:hint="eastAsia" w:cs="Times New Roman" w:asciiTheme="minorEastAsia" w:hAnsiTheme="minorEastAsia"/>
          <w:color w:val="auto"/>
          <w:sz w:val="24"/>
          <w:szCs w:val="24"/>
        </w:rPr>
        <w:t>原公告的采购项目名称：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>广西水资源监测能力建设工程</w:t>
      </w:r>
    </w:p>
    <w:p>
      <w:p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color w:val="auto"/>
          <w:sz w:val="24"/>
          <w:szCs w:val="24"/>
          <w:lang w:eastAsia="zh-CN"/>
        </w:rPr>
      </w:pP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>首次公告日期：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>2022年9月30日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>　　　　　　　　　　　</w:t>
      </w:r>
    </w:p>
    <w:p>
      <w:pPr>
        <w:keepNext/>
        <w:keepLines/>
        <w:spacing w:line="440" w:lineRule="exact"/>
        <w:outlineLvl w:val="1"/>
        <w:rPr>
          <w:rFonts w:cs="宋体" w:asciiTheme="minorEastAsia" w:hAnsiTheme="minorEastAsia"/>
          <w:bCs/>
          <w:color w:val="auto"/>
          <w:sz w:val="24"/>
          <w:szCs w:val="24"/>
        </w:rPr>
      </w:pPr>
      <w:bookmarkStart w:id="5" w:name="_Toc35393646"/>
      <w:bookmarkStart w:id="6" w:name="_Toc28359105"/>
      <w:bookmarkStart w:id="7" w:name="_Toc28359028"/>
      <w:bookmarkStart w:id="8" w:name="_Toc35393815"/>
      <w:r>
        <w:rPr>
          <w:rFonts w:hint="eastAsia" w:cs="宋体" w:asciiTheme="minorEastAsia" w:hAnsiTheme="minorEastAsia"/>
          <w:bCs/>
          <w:color w:val="auto"/>
          <w:sz w:val="24"/>
          <w:szCs w:val="24"/>
        </w:rPr>
        <w:t>二、更正信息</w:t>
      </w:r>
      <w:bookmarkEnd w:id="5"/>
      <w:bookmarkEnd w:id="6"/>
      <w:bookmarkEnd w:id="7"/>
      <w:bookmarkEnd w:id="8"/>
    </w:p>
    <w:p>
      <w:pPr>
        <w:spacing w:line="440" w:lineRule="exact"/>
        <w:ind w:firstLine="480" w:firstLineChars="200"/>
        <w:rPr>
          <w:rFonts w:cs="Times New Roman" w:asciiTheme="minorEastAsia" w:hAnsiTheme="minorEastAsia"/>
          <w:color w:val="auto"/>
          <w:sz w:val="24"/>
          <w:szCs w:val="24"/>
        </w:rPr>
      </w:pPr>
      <w:r>
        <w:rPr>
          <w:rFonts w:hint="eastAsia" w:cs="Times New Roman" w:asciiTheme="minorEastAsia" w:hAnsiTheme="minorEastAsia"/>
          <w:color w:val="auto"/>
          <w:sz w:val="24"/>
          <w:szCs w:val="24"/>
        </w:rPr>
        <w:t>更正事项：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>☑</w:t>
      </w:r>
      <w:r>
        <w:rPr>
          <w:rFonts w:hint="eastAsia" w:cs="Times New Roman" w:asciiTheme="minorEastAsia" w:hAnsiTheme="minorEastAsia"/>
          <w:color w:val="auto"/>
          <w:sz w:val="24"/>
          <w:szCs w:val="24"/>
        </w:rPr>
        <w:t>采购公告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>☑</w:t>
      </w:r>
      <w:r>
        <w:rPr>
          <w:rFonts w:hint="eastAsia" w:cs="Times New Roman" w:asciiTheme="minorEastAsia" w:hAnsiTheme="minorEastAsia"/>
          <w:color w:val="auto"/>
          <w:sz w:val="24"/>
          <w:szCs w:val="24"/>
        </w:rPr>
        <w:t xml:space="preserve">采购文件 □采购结果     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i w:val="0"/>
          <w:caps w:val="0"/>
          <w:color w:val="auto"/>
          <w:spacing w:val="0"/>
          <w:sz w:val="27"/>
          <w:szCs w:val="27"/>
        </w:rPr>
      </w:pPr>
      <w:r>
        <w:rPr>
          <w:rFonts w:hint="eastAsia" w:cs="Times New Roman" w:asciiTheme="minorEastAsia" w:hAnsiTheme="minorEastAsia"/>
          <w:color w:val="auto"/>
          <w:sz w:val="24"/>
          <w:szCs w:val="24"/>
        </w:rPr>
        <w:t>更正内容：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7"/>
          <w:szCs w:val="27"/>
        </w:rPr>
        <w:t>             </w:t>
      </w:r>
    </w:p>
    <w:tbl>
      <w:tblPr>
        <w:tblStyle w:val="10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9"/>
        <w:gridCol w:w="1996"/>
        <w:gridCol w:w="3404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cs="Times New Roman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cs="Times New Roman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更正项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cs="Times New Roman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更正前内容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cs="Times New Roman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更正后内容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第一章招标公告三、获取招标文件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时间：2022年9月30日至2022年10月12日，每天上午0:00至11:59，下午12:00至23:59（北京时间，法定节假日除外）。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时间：2022年9月30日至2022年10月25日，每天上午0:00至11:59，下午12:00至23:59（北京时间，法定节假日除外）。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第一章招标公告四、提交投标文件截止时间、开标时间和地点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提交投标文件截止时间：2022年10月25日9点30分（北京时间）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提交投标文件截止时间：2022年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11月7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日9点30分（北京时间）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第一章招标公告四、提交投标文件截止时间、开标时间和地点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开标时间：2022年10月25日9点30分（北京时间）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开标时间：2022年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11月7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日9点30分（北京时间）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第三章投标人须知第一节 投标人须知前附表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13.1资格证明文件组成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注：1. 以上标明“必须提供”的材料属于复印件的扫描件的，必须加盖投标人电子公章，否则作无效投标处理。</w:t>
            </w:r>
          </w:p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2.联合体投标时，第1-5项资格证明文件联合体各方均必须分别提供，联合体各方分别盖章和签字，否则投标文件作无效响应处理。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注：1. 以上标明“必须提供”的材料属于复印件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的扫描件的，必须加盖投标人电子公章（若联合体投标的，此处由联合体牵头人盖其电子公章），否则作无效投标处理。</w:t>
            </w:r>
          </w:p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2.联合体投标时，第1-5项资格证明文件联合体各方均必须分别提供，联合体各方</w:t>
            </w:r>
            <w:r>
              <w:rPr>
                <w:rFonts w:hint="eastAsia" w:cs="Times New Roman" w:asciiTheme="minorEastAsia" w:hAnsi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分别盖章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联合体牵头人盖其电子公章；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联合体成员无法加盖其电子公章的，联合体成员可采用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实物印章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盖章后彩色扫描为PDF格式</w:t>
            </w: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）和签字，否则投标文件作无效响应处理。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2.1.1.2 浏览器用户界面：具有浏览器用户界面，以实现连接以从网络中的任何位置检查状态或运行诊断、自引导诊断和维护、远程方法和序列编辑、远程日志访问等功能（提供远程浏览器用户界面截屏证明文件）。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2.1.1.2 远程用户界面：可以采用浏览器用户界面或其它远程操控界面，以实现连接以从网络中的任何位置检查状态或运行诊断、自引导诊断和维护、远程方法和序列编辑、远程日志访问等功能（提供用户界面截屏证明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2.1.1.3 仪器诊断功能：通过图形浏览器用户界面提供不少于5个诊断程序的演示和交互操作。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2.1.1.3仪器诊断功能：具备开机自诊断功能和运行时周期性诊断功能，并对相关的设备（端口）进行诊断，包括进样器状态、气化室、柱箱、检测器、质谱仪状态识别等多个基本要素。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2.1.2.2 升温速率：最大升温速度100℃/min，以0.01℃/min增加。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2.1.2.2升温速率：最大升温速度100˚C/min，以0.1˚C/min增加。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2.1.2.3 降温速率：从450℃降至50℃&lt;220 秒。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2.1.2.3降温速率：从450</w:t>
            </w:r>
            <w:r>
              <w:rPr>
                <w:rFonts w:ascii="Times New Roman" w:hAnsi="Times New Roman"/>
                <w:color w:val="auto"/>
                <w:szCs w:val="21"/>
              </w:rPr>
              <w:t>˚</w:t>
            </w:r>
            <w:r>
              <w:rPr>
                <w:rFonts w:hint="eastAsia" w:ascii="宋体" w:hAnsi="宋体" w:cs="宋体"/>
                <w:color w:val="auto"/>
                <w:szCs w:val="21"/>
              </w:rPr>
              <w:t>C降至50</w:t>
            </w:r>
            <w:r>
              <w:rPr>
                <w:rFonts w:ascii="Times New Roman" w:hAnsi="Times New Roman"/>
                <w:color w:val="auto"/>
                <w:szCs w:val="21"/>
              </w:rPr>
              <w:t>˚</w:t>
            </w:r>
            <w:r>
              <w:rPr>
                <w:rFonts w:hint="eastAsia" w:ascii="宋体" w:hAnsi="宋体" w:cs="宋体"/>
                <w:color w:val="auto"/>
                <w:szCs w:val="21"/>
              </w:rPr>
              <w:t>C&lt;300秒。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2.1.2.4 控温准确性：0.01℃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2.1.2.4控温准确性：0.</w:t>
            </w:r>
            <w:r>
              <w:rPr>
                <w:rFonts w:ascii="宋体" w:hAnsi="宋体" w:cs="宋体"/>
                <w:color w:val="auto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szCs w:val="21"/>
              </w:rPr>
              <w:t>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2.1.4.6 扳转式顶盖进样口密封系统作为标配内置于每个进样口中，有助于快速、轻松地更换进样器衬管。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2.1.4.6进样口维护方便，可快速更换衬管。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2.2.1 质量数范围：0.8～1090 m/z。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2.2.1 质量数范围：</w:t>
            </w:r>
            <w:r>
              <w:rPr>
                <w:rFonts w:ascii="宋体" w:hAnsi="宋体" w:cs="宋体"/>
                <w:color w:val="auto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～10</w:t>
            </w:r>
            <w:r>
              <w:rPr>
                <w:rFonts w:ascii="宋体" w:hAnsi="宋体" w:cs="宋体"/>
                <w:color w:val="auto"/>
                <w:szCs w:val="21"/>
              </w:rPr>
              <w:t>00</w:t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 m/z。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气相色谱质谱仪（GC-MS）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2.2.10 四极杆质量分析器：石英镀金共轭双曲面四极杆，能独立温控，最高可达 190℃(非预四极杆加热) 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2.2.10 四极杆质量分析器：石英镀金共轭双曲面四极杆或金属四级杆。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气相色谱仪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2.1.2 具备远程智能访问功能，可从任何浏览器（平板电脑、笔记本电脑或台式机）进行访问，无需色谱工作站即可编辑 GC方法和序列。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2.1.2 具备远程智能访问功能，可从平板电脑、笔记本电脑或台式机进行远程访问，编辑GC方法和序列。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气相色谱仪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●2.1.4 具有不小于4个气相色谱柱智能钥匙和三个 USB 端口，或相等功能。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●2.1.4具有USB 或其它同等功能接口，方便数据传输。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气相色谱仪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2.3.2 快速扳转系统，更换衬管无需要拆卸螺丝。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2.3.2进样口维护方便，可快速更换衬管。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气相色谱仪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2.6 微池电子捕获检测器（Micro-ECD）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2.6电子捕获检测器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9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99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  <w:t>第二章采购需求2分标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气相色谱仪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货物参数</w:t>
            </w:r>
          </w:p>
        </w:tc>
        <w:tc>
          <w:tcPr>
            <w:tcW w:w="340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6.9 色谱柱 HP1701，30m，0.32mm，0.25μm 数量1。</w:t>
            </w:r>
          </w:p>
        </w:tc>
        <w:tc>
          <w:tcPr>
            <w:tcW w:w="33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spacing w:line="440" w:lineRule="exact"/>
              <w:rPr>
                <w:rFonts w:hint="eastAsia" w:cs="Times New Roman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 xml:space="preserve">6.9 色谱柱 </w:t>
            </w:r>
            <w:r>
              <w:rPr>
                <w:rFonts w:ascii="宋体" w:hAnsi="宋体" w:cs="宋体"/>
                <w:bCs/>
                <w:color w:val="auto"/>
                <w:szCs w:val="21"/>
              </w:rPr>
              <w:t>DB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1701，30m，0.32mm，0.25μm 数量1。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cs="Times New Roman" w:asciiTheme="minorEastAsia" w:hAnsiTheme="minorEastAsia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 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7"/>
          <w:szCs w:val="27"/>
        </w:rPr>
        <w:t> </w:t>
      </w:r>
      <w:r>
        <w:rPr>
          <w:rFonts w:hint="eastAsia" w:cs="Times New Roman" w:asciiTheme="minorEastAsia" w:hAnsiTheme="minorEastAsia"/>
          <w:color w:val="auto"/>
          <w:sz w:val="24"/>
          <w:szCs w:val="24"/>
        </w:rPr>
        <w:t>更正日期：</w:t>
      </w:r>
      <w:r>
        <w:rPr>
          <w:rFonts w:cs="Times New Roman" w:asciiTheme="minorEastAsia" w:hAnsiTheme="minorEastAsia"/>
          <w:color w:val="auto"/>
          <w:sz w:val="24"/>
          <w:szCs w:val="24"/>
        </w:rPr>
        <w:t>202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>2</w:t>
      </w:r>
      <w:r>
        <w:rPr>
          <w:rFonts w:cs="Times New Roman" w:asciiTheme="minorEastAsia" w:hAnsiTheme="minorEastAsia"/>
          <w:color w:val="auto"/>
          <w:sz w:val="24"/>
          <w:szCs w:val="24"/>
        </w:rPr>
        <w:t>年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>10</w:t>
      </w:r>
      <w:r>
        <w:rPr>
          <w:rFonts w:cs="Times New Roman" w:asciiTheme="minorEastAsia" w:hAnsiTheme="minorEastAsia"/>
          <w:color w:val="auto"/>
          <w:sz w:val="24"/>
          <w:szCs w:val="24"/>
        </w:rPr>
        <w:t>月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>18</w:t>
      </w:r>
      <w:r>
        <w:rPr>
          <w:rFonts w:cs="Times New Roman" w:asciiTheme="minorEastAsia" w:hAnsiTheme="minorEastAsia"/>
          <w:color w:val="auto"/>
          <w:sz w:val="24"/>
          <w:szCs w:val="24"/>
        </w:rPr>
        <w:t>日</w:t>
      </w:r>
    </w:p>
    <w:p>
      <w:pPr>
        <w:keepNext/>
        <w:keepLines/>
        <w:spacing w:line="440" w:lineRule="exact"/>
        <w:outlineLvl w:val="1"/>
        <w:rPr>
          <w:rFonts w:cs="宋体" w:asciiTheme="minorEastAsia" w:hAnsiTheme="minorEastAsia"/>
          <w:bCs/>
          <w:color w:val="auto"/>
          <w:sz w:val="24"/>
          <w:szCs w:val="24"/>
        </w:rPr>
      </w:pPr>
      <w:bookmarkStart w:id="9" w:name="_Toc35393647"/>
      <w:bookmarkStart w:id="10" w:name="_Toc35393816"/>
      <w:r>
        <w:rPr>
          <w:rFonts w:hint="eastAsia" w:cs="宋体" w:asciiTheme="minorEastAsia" w:hAnsiTheme="minorEastAsia"/>
          <w:bCs/>
          <w:color w:val="auto"/>
          <w:sz w:val="24"/>
          <w:szCs w:val="24"/>
        </w:rPr>
        <w:t>三、其他补充事宜</w:t>
      </w:r>
      <w:bookmarkEnd w:id="9"/>
      <w:bookmarkEnd w:id="10"/>
    </w:p>
    <w:p>
      <w:pPr>
        <w:spacing w:line="440" w:lineRule="exact"/>
        <w:ind w:firstLine="480" w:firstLineChars="200"/>
        <w:rPr>
          <w:rFonts w:cs="Times New Roman" w:asciiTheme="minorEastAsia" w:hAnsiTheme="minorEastAsia"/>
          <w:color w:val="auto"/>
          <w:sz w:val="24"/>
          <w:szCs w:val="24"/>
        </w:rPr>
      </w:pP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>采购</w:t>
      </w:r>
      <w:r>
        <w:rPr>
          <w:rFonts w:hint="eastAsia" w:cs="Times New Roman" w:asciiTheme="minorEastAsia" w:hAnsiTheme="minorEastAsia"/>
          <w:color w:val="auto"/>
          <w:sz w:val="24"/>
          <w:szCs w:val="24"/>
        </w:rPr>
        <w:t>文件中凡涉及以上更正内容的，作相应更正，其他所载内容不变。</w:t>
      </w:r>
    </w:p>
    <w:p>
      <w:pPr>
        <w:keepNext/>
        <w:keepLines/>
        <w:spacing w:line="440" w:lineRule="exact"/>
        <w:outlineLvl w:val="1"/>
        <w:rPr>
          <w:rFonts w:cs="宋体" w:asciiTheme="minorEastAsia" w:hAnsiTheme="minorEastAsia"/>
          <w:bCs/>
          <w:color w:val="auto"/>
          <w:sz w:val="24"/>
          <w:szCs w:val="24"/>
        </w:rPr>
      </w:pPr>
      <w:bookmarkStart w:id="11" w:name="_Toc28359106"/>
      <w:bookmarkStart w:id="12" w:name="_Toc28359029"/>
      <w:bookmarkStart w:id="13" w:name="_Toc35393648"/>
      <w:bookmarkStart w:id="14" w:name="_Toc35393817"/>
      <w:r>
        <w:rPr>
          <w:rFonts w:hint="eastAsia" w:cs="宋体" w:asciiTheme="minorEastAsia" w:hAnsiTheme="minorEastAsia"/>
          <w:bCs/>
          <w:color w:val="auto"/>
          <w:sz w:val="24"/>
          <w:szCs w:val="24"/>
        </w:rPr>
        <w:t>四、凡对本次通知内容提出询问，请按以下方式联系。</w:t>
      </w:r>
      <w:bookmarkEnd w:id="11"/>
      <w:bookmarkEnd w:id="12"/>
      <w:bookmarkEnd w:id="13"/>
      <w:bookmarkEnd w:id="14"/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1.采购人信息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名 称：广西壮族自治区水文中心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地址：南宁市建政路12号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联系方式：蒋工0771-2185692  吕工 0771-2185271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2.采购代理机构信息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名 称：广西兴桂源招标有限公司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地　址：南宁市建政路12号区水利厅综合楼一单元6楼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联系方式：0771-3491328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3.项目联系方式</w:t>
      </w:r>
    </w:p>
    <w:p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项目联系人：黄晓殷</w:t>
      </w:r>
    </w:p>
    <w:p>
      <w:pPr>
        <w:pStyle w:val="6"/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电    话：0771-3491280、0771-2211530</w:t>
      </w:r>
    </w:p>
    <w:p>
      <w:pPr>
        <w:spacing w:line="440" w:lineRule="exact"/>
        <w:jc w:val="right"/>
        <w:rPr>
          <w:rFonts w:hint="eastAsia" w:cs="Times New Roman" w:asciiTheme="minorEastAsia" w:hAnsiTheme="minorEastAsia" w:eastAsiaTheme="minorEastAsia"/>
          <w:color w:val="auto"/>
          <w:sz w:val="24"/>
          <w:szCs w:val="24"/>
          <w:lang w:eastAsia="zh-CN"/>
        </w:rPr>
      </w:pPr>
      <w:r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  <w:t>广西兴桂源招标有限公司</w:t>
      </w:r>
    </w:p>
    <w:p>
      <w:pPr>
        <w:spacing w:line="440" w:lineRule="exact"/>
        <w:jc w:val="right"/>
        <w:rPr>
          <w:rFonts w:cs="Times New Roman" w:asciiTheme="minorEastAsia" w:hAnsiTheme="minorEastAsia"/>
          <w:color w:val="auto"/>
          <w:sz w:val="24"/>
          <w:szCs w:val="24"/>
        </w:rPr>
      </w:pPr>
      <w:r>
        <w:rPr>
          <w:rFonts w:cs="Times New Roman" w:asciiTheme="minorEastAsia" w:hAnsiTheme="minorEastAsia"/>
          <w:color w:val="auto"/>
          <w:sz w:val="24"/>
          <w:szCs w:val="24"/>
        </w:rPr>
        <w:t>202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>2</w:t>
      </w:r>
      <w:r>
        <w:rPr>
          <w:rFonts w:cs="Times New Roman" w:asciiTheme="minorEastAsia" w:hAnsiTheme="minorEastAsia"/>
          <w:color w:val="auto"/>
          <w:sz w:val="24"/>
          <w:szCs w:val="24"/>
        </w:rPr>
        <w:t>年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>10</w:t>
      </w:r>
      <w:r>
        <w:rPr>
          <w:rFonts w:cs="Times New Roman" w:asciiTheme="minorEastAsia" w:hAnsiTheme="minorEastAsia"/>
          <w:color w:val="auto"/>
          <w:sz w:val="24"/>
          <w:szCs w:val="24"/>
        </w:rPr>
        <w:t>月</w:t>
      </w:r>
      <w:r>
        <w:rPr>
          <w:rFonts w:hint="eastAsia" w:cs="Times New Roman" w:asciiTheme="minorEastAsia" w:hAnsiTheme="minorEastAsia"/>
          <w:color w:val="auto"/>
          <w:sz w:val="24"/>
          <w:szCs w:val="24"/>
          <w:lang w:val="en-US" w:eastAsia="zh-CN"/>
        </w:rPr>
        <w:t>18</w:t>
      </w:r>
      <w:r>
        <w:rPr>
          <w:rFonts w:cs="Times New Roman" w:asciiTheme="minorEastAsia" w:hAnsiTheme="minorEastAsia"/>
          <w:color w:val="auto"/>
          <w:sz w:val="24"/>
          <w:szCs w:val="24"/>
        </w:rPr>
        <w:t>日</w:t>
      </w:r>
    </w:p>
    <w:p>
      <w:pPr>
        <w:pStyle w:val="7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bookmarkStart w:id="15" w:name="_GoBack"/>
      <w:bookmarkEnd w:id="15"/>
    </w:p>
    <w:p>
      <w:pPr>
        <w:spacing w:line="440" w:lineRule="exact"/>
        <w:jc w:val="right"/>
        <w:rPr>
          <w:rFonts w:hint="eastAsia" w:cs="Times New Roman" w:asciiTheme="minorEastAsia" w:hAnsiTheme="minorEastAsia"/>
          <w:color w:val="auto"/>
          <w:sz w:val="24"/>
          <w:szCs w:val="24"/>
          <w:lang w:eastAsia="zh-CN"/>
        </w:rPr>
      </w:pPr>
    </w:p>
    <w:p>
      <w:pPr>
        <w:jc w:val="right"/>
        <w:rPr>
          <w:rFonts w:asciiTheme="minorEastAsia" w:hAnsiTheme="minorEastAsia"/>
          <w:color w:val="auto"/>
        </w:rPr>
      </w:pPr>
    </w:p>
    <w:p>
      <w:pPr>
        <w:rPr>
          <w:color w:val="auto"/>
        </w:rPr>
      </w:pPr>
    </w:p>
    <w:sectPr>
      <w:footerReference r:id="rId3" w:type="default"/>
      <w:pgSz w:w="11906" w:h="16838"/>
      <w:pgMar w:top="1134" w:right="1418" w:bottom="1134" w:left="141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05A01"/>
    <w:rsid w:val="07CD4008"/>
    <w:rsid w:val="09A92ECE"/>
    <w:rsid w:val="0BFA7935"/>
    <w:rsid w:val="0DDF6A36"/>
    <w:rsid w:val="14C46EBE"/>
    <w:rsid w:val="172B75A9"/>
    <w:rsid w:val="1CB01A7F"/>
    <w:rsid w:val="1D305ADD"/>
    <w:rsid w:val="1E1077BE"/>
    <w:rsid w:val="204974BE"/>
    <w:rsid w:val="22705ADE"/>
    <w:rsid w:val="22D35E07"/>
    <w:rsid w:val="254224A7"/>
    <w:rsid w:val="25F03EF6"/>
    <w:rsid w:val="25FE24A0"/>
    <w:rsid w:val="26BA6270"/>
    <w:rsid w:val="278175E0"/>
    <w:rsid w:val="27925F9D"/>
    <w:rsid w:val="2AA37402"/>
    <w:rsid w:val="2B3234EE"/>
    <w:rsid w:val="2D5C57C7"/>
    <w:rsid w:val="2D9777D9"/>
    <w:rsid w:val="2DAC1D2F"/>
    <w:rsid w:val="2ED50E16"/>
    <w:rsid w:val="2FAF26EB"/>
    <w:rsid w:val="321D311E"/>
    <w:rsid w:val="33DC741D"/>
    <w:rsid w:val="33E5055A"/>
    <w:rsid w:val="34B70D96"/>
    <w:rsid w:val="34BE6993"/>
    <w:rsid w:val="34E83310"/>
    <w:rsid w:val="37815AA8"/>
    <w:rsid w:val="3A0769F8"/>
    <w:rsid w:val="3E443233"/>
    <w:rsid w:val="3F917BDC"/>
    <w:rsid w:val="3FF445B0"/>
    <w:rsid w:val="418B1CA3"/>
    <w:rsid w:val="42A867DF"/>
    <w:rsid w:val="47AE68E8"/>
    <w:rsid w:val="48CC0683"/>
    <w:rsid w:val="4D016484"/>
    <w:rsid w:val="51060B8A"/>
    <w:rsid w:val="52083625"/>
    <w:rsid w:val="53A74CE3"/>
    <w:rsid w:val="55BF27D8"/>
    <w:rsid w:val="56066525"/>
    <w:rsid w:val="56885697"/>
    <w:rsid w:val="57820A09"/>
    <w:rsid w:val="581577C6"/>
    <w:rsid w:val="5C8C64DA"/>
    <w:rsid w:val="5E0A43FE"/>
    <w:rsid w:val="623F53A3"/>
    <w:rsid w:val="63760A9A"/>
    <w:rsid w:val="651F726D"/>
    <w:rsid w:val="656742B8"/>
    <w:rsid w:val="656B5E74"/>
    <w:rsid w:val="65751B94"/>
    <w:rsid w:val="685A5141"/>
    <w:rsid w:val="6B6A0F07"/>
    <w:rsid w:val="6F4B0798"/>
    <w:rsid w:val="705224CE"/>
    <w:rsid w:val="71CE4451"/>
    <w:rsid w:val="72086DDF"/>
    <w:rsid w:val="726E3108"/>
    <w:rsid w:val="73770F78"/>
    <w:rsid w:val="7B577A94"/>
    <w:rsid w:val="7BDD7F4E"/>
    <w:rsid w:val="7FD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next w:val="4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2021-02-03T04:34:00Z</dcterms:created>
  <dc:creator>Administrator</dc:creator>
  <cp:lastModifiedBy>Dell</cp:lastModifiedBy>
  <dcterms:modified xsi:type="dcterms:W3CDTF">2022-10-18T03:21:01Z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